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E9" w14:textId="77777777" w:rsidR="001F78A9" w:rsidRPr="00B83167" w:rsidRDefault="00E30493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304CCD6D" wp14:editId="0D719077">
            <wp:simplePos x="0" y="0"/>
            <wp:positionH relativeFrom="column">
              <wp:posOffset>-617220</wp:posOffset>
            </wp:positionH>
            <wp:positionV relativeFrom="paragraph">
              <wp:posOffset>-705485</wp:posOffset>
            </wp:positionV>
            <wp:extent cx="2552700" cy="967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5E3C0BE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0A1FAC8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11E9E47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2EAAD88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6B4222A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38A940" w14:textId="5B9CA21A" w:rsidR="001F78A9" w:rsidRDefault="001F78A9" w:rsidP="001F78A9">
      <w:pPr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30394DE" w14:textId="1E10C266" w:rsidR="002038AD" w:rsidRDefault="002038AD" w:rsidP="001F78A9">
      <w:pPr>
        <w:jc w:val="both"/>
        <w:rPr>
          <w:rFonts w:ascii="Arial" w:hAnsi="Arial" w:cs="Arial"/>
          <w:bCs/>
          <w:sz w:val="22"/>
          <w:szCs w:val="22"/>
        </w:rPr>
      </w:pPr>
    </w:p>
    <w:p w14:paraId="03FE7350" w14:textId="4D6020D2" w:rsidR="002038AD" w:rsidRPr="002038AD" w:rsidRDefault="002038AD" w:rsidP="001F78A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038AD">
        <w:rPr>
          <w:rFonts w:ascii="Arial" w:hAnsi="Arial" w:cs="Arial"/>
          <w:b/>
          <w:bCs/>
          <w:sz w:val="22"/>
          <w:szCs w:val="22"/>
        </w:rPr>
        <w:t>Bidders are to note that only locally produced or manufactured goods, that meet the thresholds stipulated in Section 2 will be considered.</w:t>
      </w:r>
    </w:p>
    <w:p w14:paraId="0FC1DFD5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BB4B138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7DFF65B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9EE1C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C4B69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B9DC5E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EBD085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F646C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0706113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CF4B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18CF29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43062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14F358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6C6049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58BFCBBE" wp14:editId="50F81FCC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5ABE32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376E5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5F9111D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B673AB4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43E90E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250738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036C2FA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86BC817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E818B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2C7E37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46F306B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74560C6C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42778EE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ACC84E3" w14:textId="77777777" w:rsidR="00E21D2E" w:rsidRDefault="00E21D2E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71"/>
        <w:gridCol w:w="2122"/>
        <w:gridCol w:w="2319"/>
        <w:gridCol w:w="1596"/>
        <w:gridCol w:w="1897"/>
      </w:tblGrid>
      <w:tr w:rsidR="00E21D2E" w:rsidRPr="00FD2CC0" w14:paraId="44B4FCE0" w14:textId="77777777" w:rsidTr="00035070">
        <w:tc>
          <w:tcPr>
            <w:tcW w:w="571" w:type="dxa"/>
          </w:tcPr>
          <w:p w14:paraId="4EF69D8E" w14:textId="77777777" w:rsidR="00E21D2E" w:rsidRPr="00FD2CC0" w:rsidRDefault="00E21D2E" w:rsidP="00035070">
            <w:pPr>
              <w:autoSpaceDE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FD2CC0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No.</w:t>
            </w:r>
          </w:p>
        </w:tc>
        <w:tc>
          <w:tcPr>
            <w:tcW w:w="2122" w:type="dxa"/>
          </w:tcPr>
          <w:p w14:paraId="66071E0F" w14:textId="77777777" w:rsidR="00E21D2E" w:rsidRPr="00FD2CC0" w:rsidRDefault="00E21D2E" w:rsidP="00035070">
            <w:pPr>
              <w:autoSpaceDE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FD2CC0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Sector</w:t>
            </w:r>
          </w:p>
        </w:tc>
        <w:tc>
          <w:tcPr>
            <w:tcW w:w="2319" w:type="dxa"/>
          </w:tcPr>
          <w:p w14:paraId="3A191E9C" w14:textId="77777777" w:rsidR="00E21D2E" w:rsidRPr="00FD2CC0" w:rsidRDefault="00E21D2E" w:rsidP="00035070">
            <w:pPr>
              <w:autoSpaceDE w:val="0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FD2CC0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Description of Goods and/or services</w:t>
            </w:r>
          </w:p>
        </w:tc>
        <w:tc>
          <w:tcPr>
            <w:tcW w:w="1596" w:type="dxa"/>
          </w:tcPr>
          <w:p w14:paraId="70B8157E" w14:textId="77777777" w:rsidR="00E21D2E" w:rsidRPr="00FD2CC0" w:rsidRDefault="00E21D2E" w:rsidP="00035070">
            <w:pPr>
              <w:autoSpaceDE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FD2CC0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Local Content</w:t>
            </w:r>
          </w:p>
        </w:tc>
        <w:tc>
          <w:tcPr>
            <w:tcW w:w="1897" w:type="dxa"/>
          </w:tcPr>
          <w:p w14:paraId="611D8645" w14:textId="77777777" w:rsidR="00E21D2E" w:rsidRPr="00FD2CC0" w:rsidRDefault="00E21D2E" w:rsidP="00035070">
            <w:pPr>
              <w:autoSpaceDE w:val="0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FD2CC0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Minimum Local Content Threshold</w:t>
            </w:r>
          </w:p>
        </w:tc>
      </w:tr>
      <w:tr w:rsidR="00E21D2E" w:rsidRPr="00FD2CC0" w14:paraId="472044C7" w14:textId="77777777" w:rsidTr="00035070">
        <w:tc>
          <w:tcPr>
            <w:tcW w:w="571" w:type="dxa"/>
          </w:tcPr>
          <w:p w14:paraId="6E560838" w14:textId="77777777" w:rsidR="00E21D2E" w:rsidRPr="00FD2CC0" w:rsidRDefault="00E21D2E" w:rsidP="00035070">
            <w:pPr>
              <w:rPr>
                <w:rFonts w:ascii="Arial" w:hAnsi="Arial"/>
                <w:sz w:val="22"/>
                <w:szCs w:val="22"/>
                <w:lang w:eastAsia="ar-SA"/>
              </w:rPr>
            </w:pPr>
            <w:r w:rsidRPr="00FD2CC0">
              <w:rPr>
                <w:rFonts w:ascii="Arial" w:hAnsi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22" w:type="dxa"/>
          </w:tcPr>
          <w:p w14:paraId="75864D4B" w14:textId="050C4F68" w:rsidR="00E21D2E" w:rsidRPr="00FD2CC0" w:rsidRDefault="00E21D2E" w:rsidP="00035070">
            <w:pPr>
              <w:autoSpaceDE w:val="0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Electrical Cable Products</w:t>
            </w:r>
          </w:p>
        </w:tc>
        <w:tc>
          <w:tcPr>
            <w:tcW w:w="2319" w:type="dxa"/>
          </w:tcPr>
          <w:p w14:paraId="3C502750" w14:textId="5BE54B29" w:rsidR="00E21D2E" w:rsidRPr="00FD2CC0" w:rsidRDefault="00E21D2E" w:rsidP="00035070">
            <w:pPr>
              <w:autoSpaceDE w:val="0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Electrical cables</w:t>
            </w:r>
          </w:p>
        </w:tc>
        <w:tc>
          <w:tcPr>
            <w:tcW w:w="1596" w:type="dxa"/>
          </w:tcPr>
          <w:p w14:paraId="6A0105A5" w14:textId="77777777" w:rsidR="00E21D2E" w:rsidRPr="00FD2CC0" w:rsidRDefault="00E21D2E" w:rsidP="00035070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D2CC0">
              <w:rPr>
                <w:rFonts w:ascii="Arial" w:hAnsi="Arial"/>
                <w:bCs/>
                <w:sz w:val="22"/>
                <w:szCs w:val="22"/>
                <w:lang w:eastAsia="ar-SA"/>
              </w:rPr>
              <w:t>Applicable</w:t>
            </w:r>
          </w:p>
        </w:tc>
        <w:tc>
          <w:tcPr>
            <w:tcW w:w="1897" w:type="dxa"/>
          </w:tcPr>
          <w:p w14:paraId="44428620" w14:textId="3E66C5D4" w:rsidR="00E21D2E" w:rsidRPr="00FD2CC0" w:rsidRDefault="00E21D2E" w:rsidP="00035070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9</w:t>
            </w: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0</w:t>
            </w:r>
            <w:r w:rsidRPr="00FD2CC0">
              <w:rPr>
                <w:rFonts w:ascii="Arial" w:hAnsi="Arial"/>
                <w:bCs/>
                <w:sz w:val="22"/>
                <w:szCs w:val="22"/>
                <w:lang w:eastAsia="ar-SA"/>
              </w:rPr>
              <w:t>%</w:t>
            </w:r>
          </w:p>
        </w:tc>
      </w:tr>
      <w:tr w:rsidR="00E21D2E" w:rsidRPr="00FD2CC0" w14:paraId="75363753" w14:textId="77777777" w:rsidTr="00035070">
        <w:tc>
          <w:tcPr>
            <w:tcW w:w="571" w:type="dxa"/>
          </w:tcPr>
          <w:p w14:paraId="56BBC0BE" w14:textId="5262FF92" w:rsidR="00E21D2E" w:rsidRPr="00FD2CC0" w:rsidRDefault="00E21D2E" w:rsidP="00035070">
            <w:pPr>
              <w:rPr>
                <w:rFonts w:ascii="Arial" w:hAnsi="Arial"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122" w:type="dxa"/>
          </w:tcPr>
          <w:p w14:paraId="7BDE1A0D" w14:textId="5AFD299D" w:rsidR="00E21D2E" w:rsidRDefault="00E21D2E" w:rsidP="00035070">
            <w:pPr>
              <w:autoSpaceDE w:val="0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2319" w:type="dxa"/>
          </w:tcPr>
          <w:p w14:paraId="129A6D8B" w14:textId="2A93BB29" w:rsidR="00E21D2E" w:rsidRPr="00056F30" w:rsidRDefault="00E21D2E" w:rsidP="00035070">
            <w:pPr>
              <w:autoSpaceDE w:val="0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Galvanised Steel Ducting</w:t>
            </w:r>
          </w:p>
        </w:tc>
        <w:tc>
          <w:tcPr>
            <w:tcW w:w="1596" w:type="dxa"/>
          </w:tcPr>
          <w:p w14:paraId="49693B0C" w14:textId="5741E2D5" w:rsidR="00E21D2E" w:rsidRPr="00FD2CC0" w:rsidRDefault="00E21D2E" w:rsidP="00035070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D2CC0">
              <w:rPr>
                <w:rFonts w:ascii="Arial" w:hAnsi="Arial"/>
                <w:bCs/>
                <w:sz w:val="22"/>
                <w:szCs w:val="22"/>
                <w:lang w:eastAsia="ar-SA"/>
              </w:rPr>
              <w:t>Applicable</w:t>
            </w:r>
          </w:p>
        </w:tc>
        <w:tc>
          <w:tcPr>
            <w:tcW w:w="1897" w:type="dxa"/>
          </w:tcPr>
          <w:p w14:paraId="650B151F" w14:textId="6AF90A6C" w:rsidR="00E21D2E" w:rsidRDefault="00E21D2E" w:rsidP="00E21D2E">
            <w:pPr>
              <w:autoSpaceDE w:val="0"/>
              <w:spacing w:line="360" w:lineRule="auto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E21D2E" w:rsidRPr="00FD2CC0" w14:paraId="63578498" w14:textId="77777777" w:rsidTr="00035070">
        <w:tc>
          <w:tcPr>
            <w:tcW w:w="571" w:type="dxa"/>
          </w:tcPr>
          <w:p w14:paraId="3617084A" w14:textId="3562B358" w:rsidR="00E21D2E" w:rsidRPr="00FD2CC0" w:rsidRDefault="00E21D2E" w:rsidP="00E21D2E">
            <w:pPr>
              <w:rPr>
                <w:rFonts w:ascii="Arial" w:hAnsi="Arial"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sz w:val="22"/>
                <w:szCs w:val="22"/>
                <w:lang w:eastAsia="ar-SA"/>
              </w:rPr>
              <w:t>2.1</w:t>
            </w:r>
          </w:p>
        </w:tc>
        <w:tc>
          <w:tcPr>
            <w:tcW w:w="2122" w:type="dxa"/>
          </w:tcPr>
          <w:p w14:paraId="2CA5E23D" w14:textId="4CA9B44E" w:rsidR="00E21D2E" w:rsidRDefault="00E21D2E" w:rsidP="00E21D2E">
            <w:pPr>
              <w:autoSpaceDE w:val="0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2319" w:type="dxa"/>
          </w:tcPr>
          <w:p w14:paraId="72E51274" w14:textId="6D1B90B4" w:rsidR="00E21D2E" w:rsidRPr="00056F30" w:rsidRDefault="00E21D2E" w:rsidP="00E21D2E">
            <w:pPr>
              <w:autoSpaceDE w:val="0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Fasteners</w:t>
            </w:r>
          </w:p>
        </w:tc>
        <w:tc>
          <w:tcPr>
            <w:tcW w:w="1596" w:type="dxa"/>
          </w:tcPr>
          <w:p w14:paraId="5901D33E" w14:textId="15A7F194" w:rsidR="00E21D2E" w:rsidRPr="00FD2CC0" w:rsidRDefault="00E21D2E" w:rsidP="00E21D2E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D2CC0">
              <w:rPr>
                <w:rFonts w:ascii="Arial" w:hAnsi="Arial"/>
                <w:bCs/>
                <w:sz w:val="22"/>
                <w:szCs w:val="22"/>
                <w:lang w:eastAsia="ar-SA"/>
              </w:rPr>
              <w:t>Applicable</w:t>
            </w:r>
          </w:p>
        </w:tc>
        <w:tc>
          <w:tcPr>
            <w:tcW w:w="1897" w:type="dxa"/>
          </w:tcPr>
          <w:p w14:paraId="3611C8F7" w14:textId="273B2394" w:rsidR="00E21D2E" w:rsidRDefault="00E21D2E" w:rsidP="00E21D2E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E21D2E" w:rsidRPr="00FD2CC0" w14:paraId="2F6B46D7" w14:textId="77777777" w:rsidTr="00035070">
        <w:tc>
          <w:tcPr>
            <w:tcW w:w="571" w:type="dxa"/>
          </w:tcPr>
          <w:p w14:paraId="78B7B13C" w14:textId="0E64E06A" w:rsidR="00E21D2E" w:rsidRPr="00FD2CC0" w:rsidRDefault="00E21D2E" w:rsidP="00E21D2E">
            <w:pPr>
              <w:rPr>
                <w:rFonts w:ascii="Arial" w:hAnsi="Arial"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sz w:val="22"/>
                <w:szCs w:val="22"/>
                <w:lang w:eastAsia="ar-SA"/>
              </w:rPr>
              <w:t>2.2</w:t>
            </w:r>
          </w:p>
        </w:tc>
        <w:tc>
          <w:tcPr>
            <w:tcW w:w="2122" w:type="dxa"/>
          </w:tcPr>
          <w:p w14:paraId="3A173C2A" w14:textId="2576F5F8" w:rsidR="00E21D2E" w:rsidRDefault="00E21D2E" w:rsidP="00E21D2E">
            <w:pPr>
              <w:autoSpaceDE w:val="0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2319" w:type="dxa"/>
          </w:tcPr>
          <w:p w14:paraId="286BEA5B" w14:textId="6D5F0F37" w:rsidR="00E21D2E" w:rsidRPr="00056F30" w:rsidRDefault="00E21D2E" w:rsidP="00E21D2E">
            <w:pPr>
              <w:autoSpaceDE w:val="0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Hinges</w:t>
            </w:r>
          </w:p>
        </w:tc>
        <w:tc>
          <w:tcPr>
            <w:tcW w:w="1596" w:type="dxa"/>
          </w:tcPr>
          <w:p w14:paraId="4F0A6965" w14:textId="66EB7954" w:rsidR="00E21D2E" w:rsidRPr="00FD2CC0" w:rsidRDefault="00E21D2E" w:rsidP="00E21D2E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D2CC0">
              <w:rPr>
                <w:rFonts w:ascii="Arial" w:hAnsi="Arial"/>
                <w:bCs/>
                <w:sz w:val="22"/>
                <w:szCs w:val="22"/>
                <w:lang w:eastAsia="ar-SA"/>
              </w:rPr>
              <w:t>Applicable</w:t>
            </w:r>
          </w:p>
        </w:tc>
        <w:tc>
          <w:tcPr>
            <w:tcW w:w="1897" w:type="dxa"/>
          </w:tcPr>
          <w:p w14:paraId="5D7A1457" w14:textId="0713AF33" w:rsidR="00E21D2E" w:rsidRDefault="00E21D2E" w:rsidP="00E21D2E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E21D2E" w:rsidRPr="00FD2CC0" w14:paraId="350FBD76" w14:textId="77777777" w:rsidTr="00035070">
        <w:tc>
          <w:tcPr>
            <w:tcW w:w="571" w:type="dxa"/>
          </w:tcPr>
          <w:p w14:paraId="08D3FAAC" w14:textId="7356B4C3" w:rsidR="00E21D2E" w:rsidRPr="00FD2CC0" w:rsidRDefault="00E21D2E" w:rsidP="00E21D2E">
            <w:pPr>
              <w:rPr>
                <w:rFonts w:ascii="Arial" w:hAnsi="Arial"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sz w:val="22"/>
                <w:szCs w:val="22"/>
                <w:lang w:eastAsia="ar-SA"/>
              </w:rPr>
              <w:t>2.3</w:t>
            </w:r>
          </w:p>
        </w:tc>
        <w:tc>
          <w:tcPr>
            <w:tcW w:w="2122" w:type="dxa"/>
          </w:tcPr>
          <w:p w14:paraId="47443BB3" w14:textId="5FC6F891" w:rsidR="00E21D2E" w:rsidRDefault="00E21D2E" w:rsidP="00E21D2E">
            <w:pPr>
              <w:autoSpaceDE w:val="0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2319" w:type="dxa"/>
          </w:tcPr>
          <w:p w14:paraId="1FB32A1B" w14:textId="5753B52E" w:rsidR="00E21D2E" w:rsidRPr="00056F30" w:rsidRDefault="00E21D2E" w:rsidP="00E21D2E">
            <w:pPr>
              <w:autoSpaceDE w:val="0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Wiring</w:t>
            </w:r>
          </w:p>
        </w:tc>
        <w:tc>
          <w:tcPr>
            <w:tcW w:w="1596" w:type="dxa"/>
          </w:tcPr>
          <w:p w14:paraId="37630CC0" w14:textId="729A7F0D" w:rsidR="00E21D2E" w:rsidRPr="00FD2CC0" w:rsidRDefault="00E21D2E" w:rsidP="00E21D2E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D2CC0">
              <w:rPr>
                <w:rFonts w:ascii="Arial" w:hAnsi="Arial"/>
                <w:bCs/>
                <w:sz w:val="22"/>
                <w:szCs w:val="22"/>
                <w:lang w:eastAsia="ar-SA"/>
              </w:rPr>
              <w:t>Applicable</w:t>
            </w:r>
          </w:p>
        </w:tc>
        <w:tc>
          <w:tcPr>
            <w:tcW w:w="1897" w:type="dxa"/>
          </w:tcPr>
          <w:p w14:paraId="6DECEB67" w14:textId="0BB9A937" w:rsidR="00E21D2E" w:rsidRDefault="00E21D2E" w:rsidP="00E21D2E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100%</w:t>
            </w:r>
          </w:p>
        </w:tc>
      </w:tr>
    </w:tbl>
    <w:p w14:paraId="256DFCC0" w14:textId="77777777" w:rsidR="00E21D2E" w:rsidRDefault="00E21D2E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</w:p>
    <w:p w14:paraId="10DE3DCD" w14:textId="77777777" w:rsidR="00193CFF" w:rsidRPr="00B83167" w:rsidRDefault="00193CFF" w:rsidP="00BC0B87">
      <w:pPr>
        <w:rPr>
          <w:rFonts w:ascii="Arial" w:hAnsi="Arial" w:cs="Arial"/>
          <w:sz w:val="22"/>
          <w:szCs w:val="22"/>
          <w:lang w:val="en-US"/>
        </w:rPr>
      </w:pPr>
    </w:p>
    <w:p w14:paraId="422BEB42" w14:textId="25E6077E" w:rsidR="001F78A9" w:rsidRPr="00C35F29" w:rsidRDefault="00193CFF" w:rsidP="00C35F2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  <w:r w:rsidR="00C35F29">
        <w:rPr>
          <w:rFonts w:ascii="Arial" w:hAnsi="Arial" w:cs="Arial"/>
          <w:sz w:val="22"/>
          <w:szCs w:val="22"/>
          <w:lang w:val="en-US"/>
        </w:rPr>
        <w:t xml:space="preserve">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9ED152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7521CCB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4241ECAF" w14:textId="77777777" w:rsidTr="001F78A9">
        <w:tc>
          <w:tcPr>
            <w:tcW w:w="675" w:type="dxa"/>
          </w:tcPr>
          <w:p w14:paraId="7427491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222D1F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80B1CD7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1D5E35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621C3CC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08615B3B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19F58C2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C0D691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</w:t>
      </w:r>
      <w:proofErr w:type="gramStart"/>
      <w:r w:rsidRPr="00B83167">
        <w:rPr>
          <w:rFonts w:ascii="Arial" w:hAnsi="Arial" w:cs="Arial"/>
          <w:bCs/>
          <w:sz w:val="22"/>
          <w:szCs w:val="22"/>
        </w:rPr>
        <w:t>is</w:t>
      </w:r>
      <w:proofErr w:type="gramEnd"/>
      <w:r w:rsidRPr="00B83167">
        <w:rPr>
          <w:rFonts w:ascii="Arial" w:hAnsi="Arial" w:cs="Arial"/>
          <w:bCs/>
          <w:sz w:val="22"/>
          <w:szCs w:val="22"/>
        </w:rPr>
        <w:t xml:space="preserve">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9864DEF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20689FEB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CBC8E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1E714230" w14:textId="77777777" w:rsidTr="00D004DE">
        <w:tc>
          <w:tcPr>
            <w:tcW w:w="3433" w:type="dxa"/>
            <w:shd w:val="clear" w:color="auto" w:fill="auto"/>
          </w:tcPr>
          <w:p w14:paraId="6CE6E0D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704B93C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7D654A5" w14:textId="77777777" w:rsidTr="00D004DE">
        <w:tc>
          <w:tcPr>
            <w:tcW w:w="3433" w:type="dxa"/>
            <w:shd w:val="clear" w:color="auto" w:fill="auto"/>
          </w:tcPr>
          <w:p w14:paraId="7A04F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CD94FC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AF9CAE0" w14:textId="77777777" w:rsidTr="00D004DE">
        <w:tc>
          <w:tcPr>
            <w:tcW w:w="3433" w:type="dxa"/>
            <w:shd w:val="clear" w:color="auto" w:fill="auto"/>
          </w:tcPr>
          <w:p w14:paraId="6479FF2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73D6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25EDD17" w14:textId="77777777" w:rsidTr="00D004DE">
        <w:tc>
          <w:tcPr>
            <w:tcW w:w="3433" w:type="dxa"/>
            <w:shd w:val="clear" w:color="auto" w:fill="auto"/>
          </w:tcPr>
          <w:p w14:paraId="6BE8DFC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FDE689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6A785DE" w14:textId="77777777" w:rsidTr="00D004DE">
        <w:tc>
          <w:tcPr>
            <w:tcW w:w="3433" w:type="dxa"/>
            <w:shd w:val="clear" w:color="auto" w:fill="auto"/>
          </w:tcPr>
          <w:p w14:paraId="3C54A7B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6B2710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72308EC" w14:textId="77777777" w:rsidTr="00D004DE">
        <w:tc>
          <w:tcPr>
            <w:tcW w:w="3433" w:type="dxa"/>
            <w:shd w:val="clear" w:color="auto" w:fill="auto"/>
          </w:tcPr>
          <w:p w14:paraId="73C76B7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471A71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61A261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43430D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141DADB" w14:textId="77777777" w:rsidR="00E30493" w:rsidRPr="002038AD" w:rsidRDefault="00E30493" w:rsidP="00E30493">
      <w:pPr>
        <w:ind w:left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="007C2156" w:rsidRPr="002038AD">
        <w:rPr>
          <w:rFonts w:ascii="Arial" w:hAnsi="Arial" w:cs="Arial"/>
          <w:b/>
          <w:sz w:val="22"/>
          <w:szCs w:val="22"/>
          <w:lang w:val="en-US"/>
        </w:rPr>
        <w:t>The rates of exchange quoted herein will be verified for accuracy.</w:t>
      </w:r>
    </w:p>
    <w:p w14:paraId="1675D2FC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12BD5B4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</w:t>
      </w:r>
      <w:proofErr w:type="gramStart"/>
      <w:r w:rsidR="001F78A9">
        <w:rPr>
          <w:rFonts w:ascii="Arial" w:hAnsi="Arial" w:cs="Arial"/>
          <w:bCs/>
          <w:sz w:val="22"/>
          <w:szCs w:val="22"/>
        </w:rPr>
        <w:t>in order for</w:t>
      </w:r>
      <w:proofErr w:type="gramEnd"/>
      <w:r w:rsidR="001F78A9">
        <w:rPr>
          <w:rFonts w:ascii="Arial" w:hAnsi="Arial" w:cs="Arial"/>
          <w:bCs/>
          <w:sz w:val="22"/>
          <w:szCs w:val="22"/>
        </w:rPr>
        <w:t xml:space="preserve">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9B23128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098B75D" w14:textId="77777777" w:rsidR="00BC0B87" w:rsidRDefault="00BC0B87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6A6B65D1" w14:textId="77777777" w:rsidR="00BC0B87" w:rsidRDefault="00BC0B87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3EC2771D" w14:textId="77777777" w:rsidR="00BC0B87" w:rsidRDefault="00BC0B87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1D2326A3" w14:textId="77777777" w:rsidR="00BC0B87" w:rsidRDefault="00BC0B87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2CCD9724" w14:textId="77777777" w:rsidR="00BC0B87" w:rsidRDefault="00BC0B87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41B50308" w14:textId="77777777" w:rsidR="00BC0B87" w:rsidRDefault="00BC0B87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5414B268" w14:textId="662C047C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390D28AE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8DE807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354B870" w14:textId="77777777" w:rsidTr="001F78A9">
        <w:tc>
          <w:tcPr>
            <w:tcW w:w="9060" w:type="dxa"/>
            <w:shd w:val="clear" w:color="auto" w:fill="auto"/>
          </w:tcPr>
          <w:p w14:paraId="1AF231B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</w:t>
            </w:r>
            <w:proofErr w:type="gramStart"/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PARTNERSHIP</w:t>
            </w:r>
            <w:proofErr w:type="gramEnd"/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INDIVIDUAL) </w:t>
            </w:r>
          </w:p>
          <w:p w14:paraId="586AEC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18FE4B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6EA9F96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09D197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48BA1E2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2723368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F9EA8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FA63CB1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</w:t>
            </w:r>
            <w:proofErr w:type="gramStart"/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in order to</w:t>
            </w:r>
            <w:proofErr w:type="gramEnd"/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7732B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5B3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full</w:t>
            </w:r>
            <w:proofErr w:type="gramEnd"/>
            <w:r w:rsidRPr="0088626B">
              <w:rPr>
                <w:rFonts w:ascii="Arial" w:hAnsi="Arial" w:cs="Arial"/>
                <w:sz w:val="22"/>
                <w:szCs w:val="22"/>
              </w:rPr>
              <w:t xml:space="preserve"> names),</w:t>
            </w:r>
          </w:p>
          <w:p w14:paraId="209B219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  <w:p w14:paraId="7A63F77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681A769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4536C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C53770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99E8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4A014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F4DE7B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568821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ABF707C" w14:textId="7A98D1C6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Bid price, excluding VAT (</w:t>
                  </w:r>
                  <w:proofErr w:type="gramStart"/>
                  <w:r w:rsidR="00102ECE"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y) 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1276" w:type="dxa"/>
                </w:tcPr>
                <w:p w14:paraId="7D4B1B7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90F280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5535D2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A28C4B4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D971A75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5803B8A" w14:textId="024063A8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</w:t>
                  </w:r>
                  <w:r w:rsidR="00102ECE" w:rsidRPr="00B83167">
                    <w:rPr>
                      <w:rFonts w:ascii="Arial" w:hAnsi="Arial" w:cs="Arial"/>
                      <w:sz w:val="22"/>
                      <w:szCs w:val="22"/>
                    </w:rPr>
                    <w:t>threshold for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4378D52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7B8B3A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8DEBEA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4B0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D0769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5AC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B41F2B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</w:t>
            </w:r>
            <w:proofErr w:type="gramStart"/>
            <w:r w:rsidRPr="0088626B">
              <w:rPr>
                <w:rFonts w:ascii="Arial" w:hAnsi="Arial" w:cs="Arial"/>
                <w:b/>
                <w:sz w:val="22"/>
                <w:szCs w:val="22"/>
              </w:rPr>
              <w:t>has</w:t>
            </w:r>
            <w:proofErr w:type="gramEnd"/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 been calculated using the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C092F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CCC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6A25E45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 xml:space="preserve">that are not verifiable as described in SATS 1286:2011, may result in the Procurement Authority / Institution imposing any or 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all of</w:t>
            </w:r>
            <w:proofErr w:type="gramEnd"/>
            <w:r w:rsidRPr="0088626B">
              <w:rPr>
                <w:rFonts w:ascii="Arial" w:hAnsi="Arial" w:cs="Arial"/>
                <w:sz w:val="22"/>
                <w:szCs w:val="22"/>
              </w:rPr>
              <w:t xml:space="preserve">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4AB61B2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5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</w:t>
            </w:r>
            <w:proofErr w:type="gramEnd"/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7174B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C5DE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8FDB0E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785E2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FC15FB4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14C31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462D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8C10795" w14:textId="77777777"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B75C5" w14:textId="77777777" w:rsidR="001B02D1" w:rsidRDefault="001B02D1">
      <w:r>
        <w:separator/>
      </w:r>
    </w:p>
  </w:endnote>
  <w:endnote w:type="continuationSeparator" w:id="0">
    <w:p w14:paraId="245B1CBA" w14:textId="77777777" w:rsidR="001B02D1" w:rsidRDefault="001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9A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38217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FA" w14:textId="6CFAE2B6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38AD">
      <w:rPr>
        <w:rStyle w:val="PageNumber"/>
        <w:noProof/>
      </w:rPr>
      <w:t>4</w:t>
    </w:r>
    <w:r>
      <w:rPr>
        <w:rStyle w:val="PageNumber"/>
      </w:rPr>
      <w:fldChar w:fldCharType="end"/>
    </w:r>
  </w:p>
  <w:p w14:paraId="3A0B65E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EF3E" w14:textId="77777777" w:rsidR="001B02D1" w:rsidRDefault="001B02D1">
      <w:r>
        <w:separator/>
      </w:r>
    </w:p>
  </w:footnote>
  <w:footnote w:type="continuationSeparator" w:id="0">
    <w:p w14:paraId="7EE4E75F" w14:textId="77777777" w:rsidR="001B02D1" w:rsidRDefault="001B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9"/>
    <w:rsid w:val="00032EC1"/>
    <w:rsid w:val="00046944"/>
    <w:rsid w:val="00083D66"/>
    <w:rsid w:val="000C498B"/>
    <w:rsid w:val="000D6909"/>
    <w:rsid w:val="00102ECE"/>
    <w:rsid w:val="001159C2"/>
    <w:rsid w:val="00172385"/>
    <w:rsid w:val="00176D85"/>
    <w:rsid w:val="00193CFF"/>
    <w:rsid w:val="001A3322"/>
    <w:rsid w:val="001B02D1"/>
    <w:rsid w:val="001F21D0"/>
    <w:rsid w:val="001F78A9"/>
    <w:rsid w:val="002038AD"/>
    <w:rsid w:val="002045E1"/>
    <w:rsid w:val="00247F9D"/>
    <w:rsid w:val="002D7000"/>
    <w:rsid w:val="00361B8A"/>
    <w:rsid w:val="003859C2"/>
    <w:rsid w:val="00415C84"/>
    <w:rsid w:val="00420168"/>
    <w:rsid w:val="00445262"/>
    <w:rsid w:val="004606B4"/>
    <w:rsid w:val="00475901"/>
    <w:rsid w:val="004F17AA"/>
    <w:rsid w:val="00520630"/>
    <w:rsid w:val="00592E3B"/>
    <w:rsid w:val="00696671"/>
    <w:rsid w:val="00715291"/>
    <w:rsid w:val="007C2156"/>
    <w:rsid w:val="007F24F4"/>
    <w:rsid w:val="0089429D"/>
    <w:rsid w:val="008A35F6"/>
    <w:rsid w:val="008E061E"/>
    <w:rsid w:val="0090656F"/>
    <w:rsid w:val="00931F23"/>
    <w:rsid w:val="0094735C"/>
    <w:rsid w:val="00955FA4"/>
    <w:rsid w:val="00961EB8"/>
    <w:rsid w:val="00963D43"/>
    <w:rsid w:val="00A67D36"/>
    <w:rsid w:val="00A77206"/>
    <w:rsid w:val="00AB0888"/>
    <w:rsid w:val="00B1424E"/>
    <w:rsid w:val="00B24EA2"/>
    <w:rsid w:val="00B977C6"/>
    <w:rsid w:val="00BC0B87"/>
    <w:rsid w:val="00C061F2"/>
    <w:rsid w:val="00C35F29"/>
    <w:rsid w:val="00C45CBE"/>
    <w:rsid w:val="00C97E6C"/>
    <w:rsid w:val="00CF4607"/>
    <w:rsid w:val="00CF4DCD"/>
    <w:rsid w:val="00D004DE"/>
    <w:rsid w:val="00DE5AE8"/>
    <w:rsid w:val="00DF1062"/>
    <w:rsid w:val="00E21D2E"/>
    <w:rsid w:val="00E30493"/>
    <w:rsid w:val="00E36314"/>
    <w:rsid w:val="00E849BF"/>
    <w:rsid w:val="00EC2FF8"/>
    <w:rsid w:val="00F06E7A"/>
    <w:rsid w:val="00F07E25"/>
    <w:rsid w:val="00F13697"/>
    <w:rsid w:val="00F85955"/>
    <w:rsid w:val="00FA192A"/>
    <w:rsid w:val="00FC4D21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B89CF"/>
  <w15:docId w15:val="{C16307D6-79A9-4BF9-BC5C-D25D6081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56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56"/>
    <w:rPr>
      <w:rFonts w:ascii="Times New Roman" w:eastAsia="Times New Roman" w:hAnsi="Times New Roman"/>
      <w:b/>
      <w:bCs/>
      <w:lang w:val="en-ZA" w:eastAsia="en-US"/>
    </w:rPr>
  </w:style>
  <w:style w:type="table" w:styleId="TableGrid">
    <w:name w:val="Table Grid"/>
    <w:basedOn w:val="TableNormal"/>
    <w:uiPriority w:val="59"/>
    <w:rsid w:val="00E21D2E"/>
    <w:pPr>
      <w:tabs>
        <w:tab w:val="left" w:pos="8850"/>
      </w:tabs>
      <w:suppressAutoHyphens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62721-1B60-475B-B141-F241932137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8503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subject/>
  <dc:creator>Jacques Engelbrecht</dc:creator>
  <cp:keywords/>
  <dc:description/>
  <cp:lastModifiedBy>Kamogelo Rathebe</cp:lastModifiedBy>
  <cp:revision>2</cp:revision>
  <cp:lastPrinted>2015-04-28T08:11:00Z</cp:lastPrinted>
  <dcterms:created xsi:type="dcterms:W3CDTF">2021-10-19T08:47:00Z</dcterms:created>
  <dcterms:modified xsi:type="dcterms:W3CDTF">2021-10-19T08:47:00Z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