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0BB4" w:rsidRDefault="000E0BB4" w:rsidP="0039397B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E0BB4">
              <w:rPr>
                <w:rFonts w:asciiTheme="majorHAnsi" w:hAnsiTheme="majorHAnsi"/>
                <w:sz w:val="22"/>
                <w:szCs w:val="22"/>
              </w:rPr>
              <w:t xml:space="preserve">To undertake Product Life Cycle Assessments at two (2) textile companies located in Pietermaritzburg and Reunion, </w:t>
            </w:r>
            <w:proofErr w:type="spellStart"/>
            <w:r w:rsidRPr="000E0BB4">
              <w:rPr>
                <w:rFonts w:asciiTheme="majorHAnsi" w:hAnsiTheme="majorHAnsi"/>
                <w:sz w:val="22"/>
                <w:szCs w:val="22"/>
              </w:rPr>
              <w:t>Kwazulu</w:t>
            </w:r>
            <w:proofErr w:type="spellEnd"/>
            <w:r w:rsidRPr="000E0BB4">
              <w:rPr>
                <w:rFonts w:asciiTheme="majorHAnsi" w:hAnsiTheme="majorHAnsi"/>
                <w:sz w:val="22"/>
                <w:szCs w:val="22"/>
              </w:rPr>
              <w:t xml:space="preserve"> Natal, and one (1) pharmaceutical company located in Olifantsfontein, Gauteng on behalf of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E73EA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0E0BB4">
              <w:rPr>
                <w:rFonts w:asciiTheme="majorHAnsi" w:hAnsiTheme="majorHAnsi"/>
                <w:sz w:val="22"/>
                <w:szCs w:val="22"/>
              </w:rPr>
              <w:t>803</w:t>
            </w:r>
            <w:r w:rsidR="00FE716B">
              <w:rPr>
                <w:rFonts w:asciiTheme="majorHAnsi" w:hAnsiTheme="majorHAnsi"/>
                <w:sz w:val="22"/>
                <w:szCs w:val="22"/>
              </w:rPr>
              <w:t>/10</w:t>
            </w:r>
            <w:bookmarkStart w:id="0" w:name="_GoBack"/>
            <w:bookmarkEnd w:id="0"/>
            <w:r w:rsidR="00E73EA6">
              <w:rPr>
                <w:rFonts w:asciiTheme="majorHAnsi" w:hAnsiTheme="majorHAnsi"/>
                <w:sz w:val="22"/>
                <w:szCs w:val="22"/>
              </w:rPr>
              <w:t>/11/2017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FE716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E716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4594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E73EA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0BB4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44420"/>
    <w:rsid w:val="00350237"/>
    <w:rsid w:val="00351854"/>
    <w:rsid w:val="00363AAF"/>
    <w:rsid w:val="003873DC"/>
    <w:rsid w:val="0039397B"/>
    <w:rsid w:val="003C1839"/>
    <w:rsid w:val="003D23F1"/>
    <w:rsid w:val="004431C6"/>
    <w:rsid w:val="00444706"/>
    <w:rsid w:val="004B4A41"/>
    <w:rsid w:val="00523A57"/>
    <w:rsid w:val="00545945"/>
    <w:rsid w:val="00564577"/>
    <w:rsid w:val="005D2E0D"/>
    <w:rsid w:val="005F6863"/>
    <w:rsid w:val="00633188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0201-8B7D-4E2C-A95D-9B20D0D1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20</cp:revision>
  <dcterms:created xsi:type="dcterms:W3CDTF">2015-12-18T11:41:00Z</dcterms:created>
  <dcterms:modified xsi:type="dcterms:W3CDTF">2017-10-27T10:55:00Z</dcterms:modified>
</cp:coreProperties>
</file>