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3D728CD1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5529"/>
        <w:gridCol w:w="3402"/>
      </w:tblGrid>
      <w:tr w:rsidR="00B7490F" w:rsidRPr="00B7490F" w14:paraId="41413591" w14:textId="77777777" w:rsidTr="00B7490F">
        <w:tc>
          <w:tcPr>
            <w:tcW w:w="5529" w:type="dxa"/>
            <w:shd w:val="clear" w:color="auto" w:fill="auto"/>
            <w:vAlign w:val="center"/>
          </w:tcPr>
          <w:p w14:paraId="3D836DD4" w14:textId="5AABFB39" w:rsidR="00B7490F" w:rsidRPr="00B7490F" w:rsidRDefault="00B7490F" w:rsidP="00C82ABB">
            <w:pPr>
              <w:tabs>
                <w:tab w:val="clear" w:pos="8850"/>
              </w:tabs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7490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Description of services, works or goods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193CDF" w14:textId="5FF0A1C6" w:rsidR="00B7490F" w:rsidRPr="00B7490F" w:rsidRDefault="00B7490F" w:rsidP="00C82ABB">
            <w:pPr>
              <w:tabs>
                <w:tab w:val="clear" w:pos="8850"/>
              </w:tabs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7490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Stipulated minimum threshold</w:t>
            </w:r>
          </w:p>
        </w:tc>
      </w:tr>
      <w:tr w:rsidR="00B7490F" w:rsidRPr="00B7490F" w14:paraId="4BA2CD1B" w14:textId="77777777" w:rsidTr="00B7490F">
        <w:tc>
          <w:tcPr>
            <w:tcW w:w="5529" w:type="dxa"/>
            <w:shd w:val="clear" w:color="auto" w:fill="auto"/>
            <w:vAlign w:val="center"/>
          </w:tcPr>
          <w:p w14:paraId="7DB0CD92" w14:textId="4326AC77" w:rsidR="00B7490F" w:rsidRPr="00B7490F" w:rsidRDefault="00D44770" w:rsidP="00C82ABB">
            <w:pPr>
              <w:tabs>
                <w:tab w:val="clear" w:pos="8850"/>
              </w:tabs>
              <w:autoSpaceDE w:val="0"/>
              <w:spacing w:line="360" w:lineRule="auto"/>
              <w:rPr>
                <w:rFonts w:ascii="Arial" w:hAnsi="Arial" w:cs="Arial"/>
                <w:bCs/>
                <w:szCs w:val="22"/>
              </w:rPr>
            </w:pPr>
            <w:r w:rsidRPr="00D44770">
              <w:rPr>
                <w:rFonts w:ascii="Arial" w:hAnsi="Arial" w:cs="Arial"/>
                <w:bCs/>
                <w:szCs w:val="22"/>
              </w:rPr>
              <w:t>Steel Products e.g., joining components, Frames, fasteners etc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CB4856" w14:textId="77777777" w:rsidR="00B7490F" w:rsidRPr="00B7490F" w:rsidRDefault="00B7490F" w:rsidP="00C82ABB">
            <w:pPr>
              <w:tabs>
                <w:tab w:val="clear" w:pos="885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490F">
              <w:rPr>
                <w:rFonts w:ascii="Arial" w:hAnsi="Arial" w:cs="Arial"/>
                <w:bCs/>
                <w:szCs w:val="22"/>
              </w:rPr>
              <w:t>100%</w:t>
            </w:r>
          </w:p>
        </w:tc>
      </w:tr>
      <w:tr w:rsidR="00B7490F" w:rsidRPr="00B7490F" w14:paraId="43B1546C" w14:textId="77777777" w:rsidTr="00B7490F">
        <w:tc>
          <w:tcPr>
            <w:tcW w:w="5529" w:type="dxa"/>
            <w:shd w:val="clear" w:color="auto" w:fill="auto"/>
            <w:vAlign w:val="center"/>
          </w:tcPr>
          <w:p w14:paraId="3FA351B0" w14:textId="77777777" w:rsidR="00B7490F" w:rsidRPr="00B7490F" w:rsidRDefault="00B7490F" w:rsidP="00C82ABB">
            <w:pPr>
              <w:tabs>
                <w:tab w:val="clear" w:pos="8850"/>
              </w:tabs>
              <w:autoSpaceDE w:val="0"/>
              <w:spacing w:line="360" w:lineRule="auto"/>
              <w:rPr>
                <w:rFonts w:ascii="Arial" w:hAnsi="Arial" w:cs="Arial"/>
                <w:bCs/>
                <w:szCs w:val="22"/>
              </w:rPr>
            </w:pPr>
            <w:r w:rsidRPr="00B7490F">
              <w:rPr>
                <w:rFonts w:ascii="Arial" w:hAnsi="Arial" w:cs="Arial"/>
                <w:bCs/>
                <w:szCs w:val="22"/>
              </w:rPr>
              <w:t>Cement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81A55A" w14:textId="77777777" w:rsidR="00B7490F" w:rsidRPr="00B7490F" w:rsidRDefault="00B7490F" w:rsidP="00C82ABB">
            <w:pPr>
              <w:tabs>
                <w:tab w:val="clear" w:pos="885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490F">
              <w:rPr>
                <w:rFonts w:ascii="Arial" w:hAnsi="Arial" w:cs="Arial"/>
                <w:bCs/>
                <w:szCs w:val="22"/>
              </w:rPr>
              <w:t>100%</w:t>
            </w:r>
          </w:p>
        </w:tc>
      </w:tr>
      <w:tr w:rsidR="00B7490F" w:rsidRPr="00B7490F" w14:paraId="2FFDF60B" w14:textId="77777777" w:rsidTr="00B7490F">
        <w:tc>
          <w:tcPr>
            <w:tcW w:w="5529" w:type="dxa"/>
            <w:shd w:val="clear" w:color="auto" w:fill="auto"/>
            <w:vAlign w:val="center"/>
          </w:tcPr>
          <w:p w14:paraId="05008E47" w14:textId="5164E2E1" w:rsidR="00B7490F" w:rsidRPr="00B7490F" w:rsidRDefault="00B7490F" w:rsidP="00C82ABB">
            <w:pPr>
              <w:tabs>
                <w:tab w:val="clear" w:pos="8850"/>
              </w:tabs>
              <w:autoSpaceDE w:val="0"/>
              <w:spacing w:line="360" w:lineRule="auto"/>
              <w:rPr>
                <w:rFonts w:ascii="Arial" w:hAnsi="Arial" w:cs="Arial"/>
                <w:bCs/>
                <w:szCs w:val="22"/>
              </w:rPr>
            </w:pPr>
            <w:r w:rsidRPr="00B7490F">
              <w:rPr>
                <w:rFonts w:ascii="Arial" w:hAnsi="Arial" w:cs="Arial"/>
                <w:bCs/>
                <w:szCs w:val="22"/>
              </w:rPr>
              <w:t>Electrical Cables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5EE182" w14:textId="77777777" w:rsidR="00B7490F" w:rsidRPr="00B7490F" w:rsidRDefault="00B7490F" w:rsidP="00C82ABB">
            <w:pPr>
              <w:tabs>
                <w:tab w:val="clear" w:pos="885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490F">
              <w:rPr>
                <w:rFonts w:ascii="Arial" w:hAnsi="Arial" w:cs="Arial"/>
                <w:bCs/>
                <w:szCs w:val="22"/>
              </w:rPr>
              <w:t>90%</w:t>
            </w:r>
          </w:p>
        </w:tc>
      </w:tr>
      <w:tr w:rsidR="00B7490F" w:rsidRPr="00B7490F" w14:paraId="247FEE49" w14:textId="77777777" w:rsidTr="00B7490F">
        <w:tc>
          <w:tcPr>
            <w:tcW w:w="5529" w:type="dxa"/>
            <w:shd w:val="clear" w:color="auto" w:fill="auto"/>
            <w:vAlign w:val="center"/>
          </w:tcPr>
          <w:p w14:paraId="3CD4D838" w14:textId="0BCBAC3B" w:rsidR="00B7490F" w:rsidRPr="00B7490F" w:rsidRDefault="00B7490F" w:rsidP="00C82ABB">
            <w:pPr>
              <w:tabs>
                <w:tab w:val="clear" w:pos="8850"/>
              </w:tabs>
              <w:autoSpaceDE w:val="0"/>
              <w:spacing w:line="360" w:lineRule="auto"/>
              <w:rPr>
                <w:rFonts w:ascii="Arial" w:hAnsi="Arial" w:cs="Arial"/>
                <w:bCs/>
                <w:szCs w:val="22"/>
              </w:rPr>
            </w:pPr>
            <w:r w:rsidRPr="00B7490F">
              <w:rPr>
                <w:rFonts w:ascii="Arial" w:hAnsi="Arial" w:cs="Arial"/>
                <w:bCs/>
                <w:szCs w:val="22"/>
              </w:rPr>
              <w:t>PVC Pipes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77A19D" w14:textId="77777777" w:rsidR="00B7490F" w:rsidRPr="00B7490F" w:rsidRDefault="00B7490F" w:rsidP="00C82ABB">
            <w:pPr>
              <w:tabs>
                <w:tab w:val="clear" w:pos="885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490F">
              <w:rPr>
                <w:rFonts w:ascii="Arial" w:hAnsi="Arial" w:cs="Arial"/>
                <w:bCs/>
                <w:szCs w:val="22"/>
              </w:rPr>
              <w:t>100%</w:t>
            </w:r>
          </w:p>
        </w:tc>
      </w:tr>
    </w:tbl>
    <w:p w14:paraId="10DE3DCD" w14:textId="77777777" w:rsidR="00193CFF" w:rsidRPr="00B83167" w:rsidRDefault="00193CFF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35AAD0BA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lastRenderedPageBreak/>
              <w:t>IN RESPECT OF BID NO.</w:t>
            </w:r>
            <w:r w:rsidR="00393E4C" w:rsidRPr="00393E4C">
              <w:rPr>
                <w:rFonts w:ascii="Arial" w:hAnsi="Arial" w:cs="Arial"/>
                <w:b/>
                <w:sz w:val="22"/>
                <w:szCs w:val="22"/>
              </w:rPr>
              <w:t>1021</w:t>
            </w:r>
            <w:r w:rsidR="00393E4C" w:rsidRPr="00393E4C">
              <w:rPr>
                <w:rFonts w:ascii="Arial" w:hAnsi="Arial" w:cs="Arial"/>
                <w:b/>
                <w:sz w:val="22"/>
                <w:szCs w:val="22"/>
              </w:rPr>
              <w:t>/19/08/2022</w:t>
            </w:r>
            <w:r w:rsidRPr="00393E4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108165C6" w:rsidR="001F78A9" w:rsidRPr="00DA337E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A337E" w:rsidRPr="00DA337E">
              <w:rPr>
                <w:rFonts w:ascii="Arial" w:hAnsi="Arial" w:cs="Arial"/>
                <w:b/>
                <w:sz w:val="22"/>
                <w:szCs w:val="22"/>
              </w:rPr>
              <w:t>CSIR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 xml:space="preserve">that are not verifiable as described in SATS 1286:2011, may result in the Procurement Authority / Institution imposing any or all of the remedies as </w:t>
            </w: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>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79F7" w14:textId="77777777" w:rsidR="00DA18D0" w:rsidRDefault="00DA18D0">
      <w:r>
        <w:separator/>
      </w:r>
    </w:p>
  </w:endnote>
  <w:endnote w:type="continuationSeparator" w:id="0">
    <w:p w14:paraId="0DC6D769" w14:textId="77777777" w:rsidR="00DA18D0" w:rsidRDefault="00DA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CFAE2B6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21F9" w14:textId="77777777" w:rsidR="00DA18D0" w:rsidRDefault="00DA18D0">
      <w:r>
        <w:separator/>
      </w:r>
    </w:p>
  </w:footnote>
  <w:footnote w:type="continuationSeparator" w:id="0">
    <w:p w14:paraId="7F17A175" w14:textId="77777777" w:rsidR="00DA18D0" w:rsidRDefault="00DA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12634">
    <w:abstractNumId w:val="0"/>
  </w:num>
  <w:num w:numId="2" w16cid:durableId="380715014">
    <w:abstractNumId w:val="1"/>
  </w:num>
  <w:num w:numId="3" w16cid:durableId="529102827">
    <w:abstractNumId w:val="6"/>
  </w:num>
  <w:num w:numId="4" w16cid:durableId="1218930832">
    <w:abstractNumId w:val="3"/>
  </w:num>
  <w:num w:numId="5" w16cid:durableId="216627708">
    <w:abstractNumId w:val="7"/>
  </w:num>
  <w:num w:numId="6" w16cid:durableId="1418332351">
    <w:abstractNumId w:val="2"/>
  </w:num>
  <w:num w:numId="7" w16cid:durableId="1208175822">
    <w:abstractNumId w:val="8"/>
  </w:num>
  <w:num w:numId="8" w16cid:durableId="1126392465">
    <w:abstractNumId w:val="4"/>
  </w:num>
  <w:num w:numId="9" w16cid:durableId="1957180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6944"/>
    <w:rsid w:val="00083D66"/>
    <w:rsid w:val="000C498B"/>
    <w:rsid w:val="000D6909"/>
    <w:rsid w:val="001159C2"/>
    <w:rsid w:val="00172385"/>
    <w:rsid w:val="00176D85"/>
    <w:rsid w:val="00193CFF"/>
    <w:rsid w:val="001A3322"/>
    <w:rsid w:val="001F21D0"/>
    <w:rsid w:val="001F78A9"/>
    <w:rsid w:val="002038AD"/>
    <w:rsid w:val="00247F9D"/>
    <w:rsid w:val="002D7000"/>
    <w:rsid w:val="00361B8A"/>
    <w:rsid w:val="003859C2"/>
    <w:rsid w:val="00393E4C"/>
    <w:rsid w:val="00415C84"/>
    <w:rsid w:val="00420168"/>
    <w:rsid w:val="00445262"/>
    <w:rsid w:val="004606B4"/>
    <w:rsid w:val="00475901"/>
    <w:rsid w:val="00520630"/>
    <w:rsid w:val="00592E3B"/>
    <w:rsid w:val="00696671"/>
    <w:rsid w:val="00715291"/>
    <w:rsid w:val="007C2156"/>
    <w:rsid w:val="007F24F4"/>
    <w:rsid w:val="0089429D"/>
    <w:rsid w:val="008A35F6"/>
    <w:rsid w:val="008E061E"/>
    <w:rsid w:val="0090656F"/>
    <w:rsid w:val="00907781"/>
    <w:rsid w:val="00955FA4"/>
    <w:rsid w:val="00961EB8"/>
    <w:rsid w:val="00963D43"/>
    <w:rsid w:val="00A67D36"/>
    <w:rsid w:val="00AB0888"/>
    <w:rsid w:val="00B1424E"/>
    <w:rsid w:val="00B24EA2"/>
    <w:rsid w:val="00B7490F"/>
    <w:rsid w:val="00B977C6"/>
    <w:rsid w:val="00C061F2"/>
    <w:rsid w:val="00CF4607"/>
    <w:rsid w:val="00CF4DCD"/>
    <w:rsid w:val="00D004DE"/>
    <w:rsid w:val="00D44770"/>
    <w:rsid w:val="00DA18D0"/>
    <w:rsid w:val="00DA337E"/>
    <w:rsid w:val="00DE5AE8"/>
    <w:rsid w:val="00DF1062"/>
    <w:rsid w:val="00E30493"/>
    <w:rsid w:val="00E36314"/>
    <w:rsid w:val="00E849BF"/>
    <w:rsid w:val="00EC287A"/>
    <w:rsid w:val="00EC2FF8"/>
    <w:rsid w:val="00F06E7A"/>
    <w:rsid w:val="00F07E25"/>
    <w:rsid w:val="00F13697"/>
    <w:rsid w:val="00F50717"/>
    <w:rsid w:val="00F85955"/>
    <w:rsid w:val="00FA192A"/>
    <w:rsid w:val="00FC4D2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39"/>
    <w:rsid w:val="00B7490F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62721-1B60-475B-B141-F24193213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5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8110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Billy Masela</cp:lastModifiedBy>
  <cp:revision>6</cp:revision>
  <cp:lastPrinted>2015-04-28T08:11:00Z</cp:lastPrinted>
  <dcterms:created xsi:type="dcterms:W3CDTF">2022-08-02T21:26:00Z</dcterms:created>
  <dcterms:modified xsi:type="dcterms:W3CDTF">2022-08-05T08:55:00Z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